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689094369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96"/>
        <w:gridCol w:w="1292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>6.1</w:t>
            </w:r>
            <w:r>
              <w:rPr>
                <w:b/>
                <w:bCs/>
              </w:rPr>
              <w:t xml:space="preserve"> do Edital nº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3/201</w:t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LibreOffice/5.4.4.2$Windows_x86 LibreOffice_project/2524958677847fb3bb44820e40380acbe820f960</Application>
  <Pages>1</Pages>
  <Words>373</Words>
  <Characters>2066</Characters>
  <CharactersWithSpaces>2406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2018-03-07T08:18:45Z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