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AF" w:rsidRDefault="00371DAF" w:rsidP="00371DAF">
      <w:pPr>
        <w:pStyle w:val="Ttulo4"/>
        <w:ind w:left="115" w:right="157"/>
        <w:rPr>
          <w:lang w:val="pt-BR"/>
        </w:rPr>
      </w:pP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53" w:firstLine="0"/>
        <w:jc w:val="center"/>
        <w:rPr>
          <w:lang w:val="pt-BR"/>
        </w:rPr>
      </w:pPr>
      <w:r>
        <w:rPr>
          <w:noProof/>
          <w:lang w:val="pt-BR" w:eastAsia="pt-BR"/>
        </w:rPr>
        <w:drawing>
          <wp:inline distT="0" distB="0" distL="0" distR="0">
            <wp:extent cx="592455" cy="5340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534035"/>
                    </a:xfrm>
                    <a:prstGeom prst="rect">
                      <a:avLst/>
                    </a:prstGeom>
                    <a:noFill/>
                    <a:ln>
                      <a:noFill/>
                    </a:ln>
                  </pic:spPr>
                </pic:pic>
              </a:graphicData>
            </a:graphic>
          </wp:inline>
        </w:drawing>
      </w:r>
    </w:p>
    <w:p w:rsidR="00371DAF" w:rsidRDefault="00371DAF" w:rsidP="00371DAF">
      <w:pPr>
        <w:pStyle w:val="Ttulo3"/>
        <w:ind w:left="115" w:right="126"/>
        <w:rPr>
          <w:lang w:val="pt-BR"/>
        </w:rPr>
      </w:pPr>
      <w:r>
        <w:rPr>
          <w:lang w:val="pt-BR"/>
        </w:rPr>
        <w:t>SERVIÇO PÚBLICO FEDERALUNIVERSIDADE FEDERAL DA PARAÍBA</w:t>
      </w:r>
    </w:p>
    <w:p w:rsidR="00371DAF" w:rsidRDefault="00371DAF" w:rsidP="00371DAF">
      <w:pPr>
        <w:spacing w:after="0" w:line="256" w:lineRule="auto"/>
        <w:ind w:left="15" w:firstLine="0"/>
        <w:jc w:val="left"/>
        <w:rPr>
          <w:lang w:val="pt-BR"/>
        </w:rPr>
      </w:pPr>
    </w:p>
    <w:p w:rsidR="00371DAF" w:rsidRDefault="00371DAF" w:rsidP="00371DAF">
      <w:pPr>
        <w:spacing w:after="5" w:line="256" w:lineRule="auto"/>
        <w:ind w:left="15" w:firstLine="0"/>
        <w:jc w:val="left"/>
        <w:rPr>
          <w:lang w:val="pt-BR"/>
        </w:rPr>
      </w:pPr>
    </w:p>
    <w:p w:rsidR="00371DAF" w:rsidRDefault="00371DAF" w:rsidP="00371DAF">
      <w:pPr>
        <w:spacing w:after="179"/>
        <w:ind w:left="136" w:firstLine="0"/>
        <w:rPr>
          <w:lang w:val="pt-BR"/>
        </w:rPr>
      </w:pPr>
      <w:r>
        <w:rPr>
          <w:b/>
          <w:lang w:val="pt-BR"/>
        </w:rPr>
        <w:t>RESOLUÇÃO Nº 16/2015</w:t>
      </w:r>
    </w:p>
    <w:p w:rsidR="00371DAF" w:rsidRDefault="00371DAF" w:rsidP="00371DAF">
      <w:pPr>
        <w:spacing w:after="194" w:line="247" w:lineRule="auto"/>
        <w:ind w:left="3122"/>
        <w:jc w:val="center"/>
        <w:rPr>
          <w:lang w:val="pt-BR"/>
        </w:rPr>
      </w:pPr>
      <w:r>
        <w:rPr>
          <w:b/>
          <w:lang w:val="pt-BR"/>
        </w:rPr>
        <w:t>Aprova o Regulamento dos Cursos Regulares de Graduação da Universidade Federal da Paraíba</w:t>
      </w:r>
      <w:r>
        <w:rPr>
          <w:lang w:val="pt-BR"/>
        </w:rPr>
        <w:t xml:space="preserve">.  </w:t>
      </w:r>
    </w:p>
    <w:p w:rsidR="00371DAF" w:rsidRDefault="00371DAF" w:rsidP="00371DAF">
      <w:pPr>
        <w:pStyle w:val="Ttulo4"/>
        <w:ind w:left="115" w:right="157"/>
        <w:rPr>
          <w:lang w:val="pt-BR"/>
        </w:rPr>
      </w:pPr>
    </w:p>
    <w:p w:rsidR="00371DAF" w:rsidRDefault="00371DAF" w:rsidP="00371DAF">
      <w:pPr>
        <w:pStyle w:val="Ttulo4"/>
        <w:ind w:left="115" w:right="157"/>
        <w:rPr>
          <w:lang w:val="pt-BR"/>
        </w:rPr>
      </w:pPr>
      <w:r>
        <w:rPr>
          <w:lang w:val="pt-BR"/>
        </w:rPr>
        <w:t>TÍTULO XVIII</w:t>
      </w:r>
      <w:r w:rsidR="00DB3239">
        <w:rPr>
          <w:lang w:val="pt-BR"/>
        </w:rPr>
        <w:t xml:space="preserve"> </w:t>
      </w:r>
      <w:r>
        <w:rPr>
          <w:lang w:val="pt-BR"/>
        </w:rPr>
        <w:t>CAPITULO I</w:t>
      </w:r>
      <w:r w:rsidR="00DB3239">
        <w:rPr>
          <w:lang w:val="pt-BR"/>
        </w:rPr>
        <w:t xml:space="preserve"> </w:t>
      </w:r>
      <w:r>
        <w:rPr>
          <w:lang w:val="pt-BR"/>
        </w:rPr>
        <w:t>DO PRÊMIO DE LÁUREA ACADÊMICA</w:t>
      </w:r>
    </w:p>
    <w:p w:rsidR="00371DAF" w:rsidRDefault="00371DAF" w:rsidP="00371DAF">
      <w:pPr>
        <w:spacing w:after="0" w:line="256" w:lineRule="auto"/>
        <w:ind w:left="15" w:firstLine="0"/>
        <w:jc w:val="left"/>
        <w:rPr>
          <w:lang w:val="pt-BR"/>
        </w:rPr>
      </w:pPr>
    </w:p>
    <w:p w:rsidR="00371DAF" w:rsidRDefault="00371DAF" w:rsidP="00371DAF">
      <w:pPr>
        <w:spacing w:after="5" w:line="252" w:lineRule="auto"/>
        <w:ind w:left="15" w:right="9004"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after="36" w:line="256" w:lineRule="auto"/>
        <w:ind w:left="15" w:firstLine="0"/>
        <w:jc w:val="left"/>
        <w:rPr>
          <w:lang w:val="pt-BR"/>
        </w:rPr>
      </w:pPr>
    </w:p>
    <w:p w:rsidR="00371DAF" w:rsidRDefault="00371DAF" w:rsidP="00371DAF">
      <w:pPr>
        <w:spacing w:line="324" w:lineRule="auto"/>
        <w:ind w:left="25" w:right="55"/>
        <w:rPr>
          <w:lang w:val="pt-BR"/>
        </w:rPr>
      </w:pPr>
      <w:r>
        <w:rPr>
          <w:b/>
          <w:lang w:val="pt-BR"/>
        </w:rPr>
        <w:t xml:space="preserve">Art. 216 </w:t>
      </w:r>
      <w:r>
        <w:rPr>
          <w:lang w:val="pt-BR"/>
        </w:rPr>
        <w:t>O Prêmio de</w:t>
      </w:r>
      <w:r w:rsidR="00DB3239">
        <w:rPr>
          <w:lang w:val="pt-BR"/>
        </w:rPr>
        <w:t xml:space="preserve"> </w:t>
      </w:r>
      <w:r>
        <w:rPr>
          <w:b/>
          <w:i/>
          <w:lang w:val="pt-BR"/>
        </w:rPr>
        <w:t>“LÁUREA ACADÊMICA DESTAQUE DA GRADUAÇÃO”,</w:t>
      </w:r>
      <w:r w:rsidR="00FC3C25">
        <w:rPr>
          <w:b/>
          <w:i/>
          <w:lang w:val="pt-BR"/>
        </w:rPr>
        <w:t xml:space="preserve"> </w:t>
      </w:r>
      <w:bookmarkStart w:id="0" w:name="_GoBack"/>
      <w:bookmarkEnd w:id="0"/>
      <w:r>
        <w:rPr>
          <w:lang w:val="pt-BR"/>
        </w:rPr>
        <w:t>será</w:t>
      </w:r>
      <w:r w:rsidR="00DB3239">
        <w:rPr>
          <w:lang w:val="pt-BR"/>
        </w:rPr>
        <w:t xml:space="preserve"> </w:t>
      </w:r>
      <w:r>
        <w:rPr>
          <w:lang w:val="pt-BR"/>
        </w:rPr>
        <w:t xml:space="preserve">concedido aos estudantes concluintes que apresentarem melhor desempenho acadêmico em cada curso de Graduação.  </w:t>
      </w: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line="300" w:lineRule="auto"/>
        <w:ind w:left="25" w:right="55"/>
        <w:rPr>
          <w:lang w:val="pt-BR"/>
        </w:rPr>
      </w:pPr>
      <w:r>
        <w:rPr>
          <w:b/>
          <w:lang w:val="pt-BR"/>
        </w:rPr>
        <w:t xml:space="preserve">Parágrafo único. </w:t>
      </w:r>
      <w:r>
        <w:rPr>
          <w:lang w:val="pt-BR"/>
        </w:rPr>
        <w:t xml:space="preserve">O Prêmio constituirá de uma Medalha e um Diploma e nestes deverãoconstar o nome do estudante, data da concessão e demais informações relevantes.  </w:t>
      </w:r>
    </w:p>
    <w:p w:rsidR="00371DAF" w:rsidRDefault="00371DAF" w:rsidP="00371DAF">
      <w:pPr>
        <w:spacing w:after="0" w:line="256" w:lineRule="auto"/>
        <w:ind w:left="15" w:firstLine="0"/>
        <w:jc w:val="left"/>
        <w:rPr>
          <w:lang w:val="pt-BR"/>
        </w:rPr>
      </w:pPr>
    </w:p>
    <w:p w:rsidR="00371DAF" w:rsidRDefault="00371DAF" w:rsidP="00371DAF">
      <w:pPr>
        <w:spacing w:line="304" w:lineRule="auto"/>
        <w:ind w:left="25" w:right="55"/>
        <w:rPr>
          <w:lang w:val="pt-BR"/>
        </w:rPr>
      </w:pPr>
      <w:r>
        <w:rPr>
          <w:b/>
          <w:lang w:val="pt-BR"/>
        </w:rPr>
        <w:t xml:space="preserve">Art. 217 </w:t>
      </w:r>
      <w:r>
        <w:rPr>
          <w:lang w:val="pt-BR"/>
        </w:rPr>
        <w:t>Serão automaticamente candidatos ao recebimento do prêmio os estudantes queatendam aos seguintes critérios:</w:t>
      </w:r>
    </w:p>
    <w:p w:rsidR="00371DAF" w:rsidRDefault="00371DAF" w:rsidP="00371DAF">
      <w:pPr>
        <w:spacing w:after="0" w:line="261" w:lineRule="auto"/>
        <w:ind w:left="15" w:right="9004" w:firstLine="0"/>
        <w:jc w:val="left"/>
        <w:rPr>
          <w:lang w:val="pt-BR"/>
        </w:rPr>
      </w:pPr>
    </w:p>
    <w:p w:rsidR="00371DAF" w:rsidRDefault="00371DAF" w:rsidP="00371DAF">
      <w:pPr>
        <w:numPr>
          <w:ilvl w:val="0"/>
          <w:numId w:val="1"/>
        </w:numPr>
        <w:spacing w:line="300" w:lineRule="auto"/>
        <w:ind w:right="55" w:hanging="246"/>
        <w:rPr>
          <w:lang w:val="pt-BR"/>
        </w:rPr>
      </w:pPr>
      <w:r>
        <w:rPr>
          <w:b/>
          <w:lang w:val="pt-BR"/>
        </w:rPr>
        <w:t xml:space="preserve">- </w:t>
      </w:r>
      <w:r>
        <w:rPr>
          <w:lang w:val="pt-BR"/>
        </w:rPr>
        <w:t>ter ingressado na UFPB através do Sistema de Seleção Unificado</w:t>
      </w:r>
      <w:r w:rsidR="00367714">
        <w:rPr>
          <w:lang w:val="pt-BR"/>
        </w:rPr>
        <w:t xml:space="preserve"> </w:t>
      </w:r>
      <w:r w:rsidR="00367714" w:rsidRPr="00367714">
        <w:rPr>
          <w:shd w:val="clear" w:color="auto" w:fill="FFFF00"/>
          <w:lang w:val="pt-BR"/>
        </w:rPr>
        <w:t>(SISU)</w:t>
      </w:r>
      <w:r>
        <w:rPr>
          <w:lang w:val="pt-BR"/>
        </w:rPr>
        <w:t xml:space="preserve"> para Ingresso no Ensino</w:t>
      </w:r>
      <w:r w:rsidR="00DB3239">
        <w:rPr>
          <w:lang w:val="pt-BR"/>
        </w:rPr>
        <w:t xml:space="preserve"> </w:t>
      </w:r>
      <w:r>
        <w:rPr>
          <w:lang w:val="pt-BR"/>
        </w:rPr>
        <w:t>Superior, estabelecido pelo Ministério da Educação;</w:t>
      </w:r>
    </w:p>
    <w:p w:rsidR="00371DAF" w:rsidRDefault="00371DAF" w:rsidP="00371DAF">
      <w:pPr>
        <w:spacing w:after="0" w:line="256" w:lineRule="auto"/>
        <w:ind w:left="15" w:firstLine="0"/>
        <w:jc w:val="left"/>
        <w:rPr>
          <w:lang w:val="pt-BR"/>
        </w:rPr>
      </w:pPr>
    </w:p>
    <w:p w:rsidR="00371DAF" w:rsidRDefault="00371DAF" w:rsidP="00371DAF">
      <w:pPr>
        <w:numPr>
          <w:ilvl w:val="0"/>
          <w:numId w:val="1"/>
        </w:numPr>
        <w:ind w:right="55" w:hanging="246"/>
        <w:rPr>
          <w:lang w:val="pt-BR"/>
        </w:rPr>
      </w:pPr>
      <w:r>
        <w:rPr>
          <w:b/>
          <w:lang w:val="pt-BR"/>
        </w:rPr>
        <w:t xml:space="preserve">- </w:t>
      </w:r>
      <w:r>
        <w:rPr>
          <w:lang w:val="pt-BR"/>
        </w:rPr>
        <w:t>ter Coeficiente de Rendimento Acadêmico (</w:t>
      </w:r>
      <w:r w:rsidRPr="00367714">
        <w:rPr>
          <w:shd w:val="clear" w:color="auto" w:fill="FFFF00"/>
          <w:lang w:val="pt-BR"/>
        </w:rPr>
        <w:t>CRA) igual ou superior a 8,0 (oito</w:t>
      </w:r>
      <w:r>
        <w:rPr>
          <w:lang w:val="pt-BR"/>
        </w:rPr>
        <w:t>);</w:t>
      </w:r>
    </w:p>
    <w:p w:rsidR="00371DAF" w:rsidRDefault="00371DAF" w:rsidP="00371DAF">
      <w:pPr>
        <w:spacing w:after="0" w:line="256" w:lineRule="auto"/>
        <w:ind w:left="15" w:firstLine="0"/>
        <w:jc w:val="left"/>
        <w:rPr>
          <w:lang w:val="pt-BR"/>
        </w:rPr>
      </w:pPr>
    </w:p>
    <w:p w:rsidR="00371DAF" w:rsidRDefault="00371DAF" w:rsidP="00371DAF">
      <w:pPr>
        <w:ind w:left="25" w:right="55"/>
        <w:rPr>
          <w:lang w:val="pt-BR"/>
        </w:rPr>
      </w:pPr>
      <w:r>
        <w:rPr>
          <w:b/>
          <w:lang w:val="pt-BR"/>
        </w:rPr>
        <w:t xml:space="preserve">III- </w:t>
      </w:r>
      <w:r>
        <w:rPr>
          <w:lang w:val="pt-BR"/>
        </w:rPr>
        <w:t xml:space="preserve">não ter </w:t>
      </w:r>
      <w:r w:rsidRPr="00367714">
        <w:rPr>
          <w:shd w:val="clear" w:color="auto" w:fill="FFFF00"/>
          <w:lang w:val="pt-BR"/>
        </w:rPr>
        <w:t>nenhuma reprovação,</w:t>
      </w:r>
      <w:r>
        <w:rPr>
          <w:lang w:val="pt-BR"/>
        </w:rPr>
        <w:t xml:space="preserve"> por frequência ou por nota, ao longo de todo curso;</w:t>
      </w:r>
    </w:p>
    <w:p w:rsidR="00371DAF" w:rsidRDefault="00371DAF" w:rsidP="00371DAF">
      <w:pPr>
        <w:spacing w:after="0" w:line="256" w:lineRule="auto"/>
        <w:ind w:left="15" w:firstLine="0"/>
        <w:jc w:val="left"/>
        <w:rPr>
          <w:lang w:val="pt-BR"/>
        </w:rPr>
      </w:pPr>
    </w:p>
    <w:p w:rsidR="00371DAF" w:rsidRDefault="00371DAF" w:rsidP="00371DAF">
      <w:pPr>
        <w:ind w:left="25" w:right="55"/>
        <w:rPr>
          <w:lang w:val="pt-BR"/>
        </w:rPr>
      </w:pPr>
      <w:r>
        <w:rPr>
          <w:b/>
          <w:lang w:val="pt-BR"/>
        </w:rPr>
        <w:t xml:space="preserve">IV - </w:t>
      </w:r>
      <w:proofErr w:type="gramStart"/>
      <w:r>
        <w:rPr>
          <w:lang w:val="pt-BR"/>
        </w:rPr>
        <w:t>ter</w:t>
      </w:r>
      <w:proofErr w:type="gramEnd"/>
      <w:r>
        <w:rPr>
          <w:lang w:val="pt-BR"/>
        </w:rPr>
        <w:t xml:space="preserve"> sido </w:t>
      </w:r>
      <w:r w:rsidRPr="00367714">
        <w:rPr>
          <w:shd w:val="clear" w:color="auto" w:fill="FFFF00"/>
          <w:lang w:val="pt-BR"/>
        </w:rPr>
        <w:t>aprovado, por média</w:t>
      </w:r>
      <w:r>
        <w:rPr>
          <w:lang w:val="pt-BR"/>
        </w:rPr>
        <w:t xml:space="preserve">, em todas os componentes curriculares.  </w:t>
      </w:r>
    </w:p>
    <w:p w:rsidR="00371DAF" w:rsidRDefault="00371DAF" w:rsidP="00371DAF">
      <w:pPr>
        <w:spacing w:after="5" w:line="254" w:lineRule="auto"/>
        <w:ind w:left="15" w:right="9004"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line="304" w:lineRule="auto"/>
        <w:ind w:left="25" w:right="55"/>
        <w:rPr>
          <w:lang w:val="pt-BR"/>
        </w:rPr>
      </w:pPr>
      <w:r>
        <w:rPr>
          <w:b/>
          <w:lang w:val="pt-BR"/>
        </w:rPr>
        <w:t xml:space="preserve">§1º. </w:t>
      </w:r>
      <w:r>
        <w:rPr>
          <w:lang w:val="pt-BR"/>
        </w:rPr>
        <w:t xml:space="preserve">Não havendo estudantes concluintes que atendam ao item IV, a Láurea será concedida aoestudante que apresentar o maior número de aprovações, por média.  </w:t>
      </w:r>
    </w:p>
    <w:p w:rsidR="00371DAF" w:rsidRDefault="00371DAF" w:rsidP="00371DAF">
      <w:pPr>
        <w:spacing w:after="0" w:line="256" w:lineRule="auto"/>
        <w:ind w:left="15" w:firstLine="0"/>
        <w:jc w:val="left"/>
        <w:rPr>
          <w:lang w:val="pt-BR"/>
        </w:rPr>
      </w:pPr>
    </w:p>
    <w:p w:rsidR="00371DAF" w:rsidRDefault="00371DAF" w:rsidP="00371DAF">
      <w:pPr>
        <w:spacing w:line="324" w:lineRule="auto"/>
        <w:ind w:left="25" w:right="55"/>
        <w:rPr>
          <w:lang w:val="pt-BR"/>
        </w:rPr>
      </w:pPr>
      <w:r>
        <w:rPr>
          <w:b/>
          <w:lang w:val="pt-BR"/>
        </w:rPr>
        <w:lastRenderedPageBreak/>
        <w:t xml:space="preserve">§2º. </w:t>
      </w:r>
      <w:r>
        <w:rPr>
          <w:lang w:val="pt-BR"/>
        </w:rPr>
        <w:t>Mesmo que atendam aos critérios constantes nos incisos deste artigo, os estudantes que</w:t>
      </w:r>
      <w:r w:rsidR="00FC3C25">
        <w:rPr>
          <w:lang w:val="pt-BR"/>
        </w:rPr>
        <w:t xml:space="preserve"> </w:t>
      </w:r>
      <w:r>
        <w:rPr>
          <w:lang w:val="pt-BR"/>
        </w:rPr>
        <w:t xml:space="preserve">vierem a integralizar seu curso, após a Colação de Grau Coletiva, não se incluem como candidatos à condecoração.  </w:t>
      </w: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line="333" w:lineRule="auto"/>
        <w:ind w:left="25" w:right="55"/>
        <w:rPr>
          <w:lang w:val="pt-BR"/>
        </w:rPr>
      </w:pPr>
      <w:r>
        <w:rPr>
          <w:b/>
          <w:lang w:val="pt-BR"/>
        </w:rPr>
        <w:t xml:space="preserve">Art. 218 </w:t>
      </w:r>
      <w:r>
        <w:rPr>
          <w:lang w:val="pt-BR"/>
        </w:rPr>
        <w:t xml:space="preserve">Caberá </w:t>
      </w:r>
      <w:proofErr w:type="gramStart"/>
      <w:r>
        <w:rPr>
          <w:lang w:val="pt-BR"/>
        </w:rPr>
        <w:t>ao(</w:t>
      </w:r>
      <w:proofErr w:type="gramEnd"/>
      <w:r>
        <w:rPr>
          <w:lang w:val="pt-BR"/>
        </w:rPr>
        <w:t>a) Coordenador(a) do Curso a elaboração da lista com os nomes dos três</w:t>
      </w:r>
      <w:r w:rsidR="00367714">
        <w:rPr>
          <w:lang w:val="pt-BR"/>
        </w:rPr>
        <w:t xml:space="preserve"> </w:t>
      </w:r>
      <w:r>
        <w:rPr>
          <w:lang w:val="pt-BR"/>
        </w:rPr>
        <w:t xml:space="preserve">discentes do respectivo curso com os maiores Coeficientes de Rendimento Acadêmico (CRA) em ordem decrescente, dentre os que colarem grau em cada semestre letivo, obedecendo aos critérios estabelecidos no Artigo 217.  </w:t>
      </w: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line="304" w:lineRule="auto"/>
        <w:ind w:left="25" w:right="55"/>
        <w:rPr>
          <w:lang w:val="pt-BR"/>
        </w:rPr>
      </w:pPr>
      <w:r>
        <w:rPr>
          <w:b/>
          <w:lang w:val="pt-BR"/>
        </w:rPr>
        <w:t xml:space="preserve">§1º. </w:t>
      </w:r>
      <w:r>
        <w:rPr>
          <w:lang w:val="pt-BR"/>
        </w:rPr>
        <w:t>Na hipótese de empate entre os três primeiros estudantes selecionados, deverão serutilizados, sucessivamente, os seguintes critérios de desempate:</w:t>
      </w: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numPr>
          <w:ilvl w:val="0"/>
          <w:numId w:val="2"/>
        </w:numPr>
        <w:ind w:right="55" w:hanging="246"/>
        <w:rPr>
          <w:lang w:val="pt-BR"/>
        </w:rPr>
      </w:pPr>
      <w:r>
        <w:rPr>
          <w:b/>
          <w:lang w:val="pt-BR"/>
        </w:rPr>
        <w:t xml:space="preserve">- </w:t>
      </w:r>
      <w:r>
        <w:rPr>
          <w:lang w:val="pt-BR"/>
        </w:rPr>
        <w:t>maior percentual de aprovações por média;</w:t>
      </w:r>
    </w:p>
    <w:p w:rsidR="00371DAF" w:rsidRDefault="00371DAF" w:rsidP="00371DAF">
      <w:pPr>
        <w:spacing w:after="0" w:line="256" w:lineRule="auto"/>
        <w:ind w:left="15" w:firstLine="0"/>
        <w:jc w:val="left"/>
        <w:rPr>
          <w:lang w:val="pt-BR"/>
        </w:rPr>
      </w:pPr>
    </w:p>
    <w:p w:rsidR="00371DAF" w:rsidRDefault="00371DAF" w:rsidP="00371DAF">
      <w:pPr>
        <w:numPr>
          <w:ilvl w:val="0"/>
          <w:numId w:val="2"/>
        </w:numPr>
        <w:ind w:right="55" w:hanging="246"/>
        <w:rPr>
          <w:lang w:val="pt-BR"/>
        </w:rPr>
      </w:pPr>
      <w:r>
        <w:rPr>
          <w:lang w:val="pt-BR"/>
        </w:rPr>
        <w:t>- maior média nos componentes curriculares obrigatórios do curso;</w:t>
      </w:r>
    </w:p>
    <w:p w:rsidR="00371DAF" w:rsidRDefault="00371DAF" w:rsidP="00371DAF">
      <w:pPr>
        <w:spacing w:after="0" w:line="256" w:lineRule="auto"/>
        <w:ind w:left="15" w:firstLine="0"/>
        <w:jc w:val="left"/>
        <w:rPr>
          <w:lang w:val="pt-BR"/>
        </w:rPr>
      </w:pPr>
    </w:p>
    <w:p w:rsidR="00371DAF" w:rsidRDefault="00371DAF" w:rsidP="00371DAF">
      <w:pPr>
        <w:numPr>
          <w:ilvl w:val="0"/>
          <w:numId w:val="2"/>
        </w:numPr>
        <w:spacing w:line="300" w:lineRule="auto"/>
        <w:ind w:right="55" w:hanging="246"/>
        <w:rPr>
          <w:lang w:val="pt-BR"/>
        </w:rPr>
      </w:pPr>
      <w:r>
        <w:rPr>
          <w:b/>
          <w:lang w:val="pt-BR"/>
        </w:rPr>
        <w:t xml:space="preserve">- </w:t>
      </w:r>
      <w:r>
        <w:rPr>
          <w:lang w:val="pt-BR"/>
        </w:rPr>
        <w:t>participação comprovada em programas institucionais por mais tempo (contado em</w:t>
      </w:r>
      <w:r w:rsidR="00367714">
        <w:rPr>
          <w:lang w:val="pt-BR"/>
        </w:rPr>
        <w:t xml:space="preserve"> </w:t>
      </w:r>
      <w:r>
        <w:rPr>
          <w:lang w:val="pt-BR"/>
        </w:rPr>
        <w:t xml:space="preserve">semestres).  </w:t>
      </w:r>
    </w:p>
    <w:p w:rsidR="00367714" w:rsidRDefault="00367714" w:rsidP="00371DAF">
      <w:pPr>
        <w:ind w:left="25" w:right="55"/>
        <w:rPr>
          <w:b/>
          <w:lang w:val="pt-BR"/>
        </w:rPr>
      </w:pPr>
    </w:p>
    <w:p w:rsidR="00371DAF" w:rsidRDefault="00371DAF" w:rsidP="00371DAF">
      <w:pPr>
        <w:ind w:left="25" w:right="55"/>
        <w:rPr>
          <w:lang w:val="pt-BR"/>
        </w:rPr>
      </w:pPr>
      <w:r>
        <w:rPr>
          <w:b/>
          <w:lang w:val="pt-BR"/>
        </w:rPr>
        <w:t xml:space="preserve">Art. 219 </w:t>
      </w:r>
      <w:r>
        <w:rPr>
          <w:lang w:val="pt-BR"/>
        </w:rPr>
        <w:t xml:space="preserve">A Láurea Acadêmica será conferida pelo Reitor ou por seu representante legal.  </w:t>
      </w:r>
    </w:p>
    <w:p w:rsidR="00371DAF" w:rsidRDefault="00371DAF" w:rsidP="00371DAF">
      <w:pPr>
        <w:spacing w:after="20" w:line="256" w:lineRule="auto"/>
        <w:ind w:left="15" w:firstLine="0"/>
        <w:jc w:val="left"/>
        <w:rPr>
          <w:lang w:val="pt-BR"/>
        </w:rPr>
      </w:pPr>
    </w:p>
    <w:p w:rsidR="00371DAF" w:rsidRDefault="00371DAF" w:rsidP="00371DAF">
      <w:pPr>
        <w:spacing w:after="61" w:line="256" w:lineRule="auto"/>
        <w:ind w:left="15" w:firstLine="0"/>
        <w:jc w:val="left"/>
        <w:rPr>
          <w:lang w:val="pt-BR"/>
        </w:rPr>
      </w:pPr>
    </w:p>
    <w:p w:rsidR="00371DAF" w:rsidRDefault="00371DAF" w:rsidP="00371DAF">
      <w:pPr>
        <w:ind w:left="25" w:right="55"/>
        <w:rPr>
          <w:lang w:val="pt-BR"/>
        </w:rPr>
      </w:pPr>
      <w:r>
        <w:rPr>
          <w:b/>
          <w:lang w:val="pt-BR"/>
        </w:rPr>
        <w:t xml:space="preserve">Art. 220 </w:t>
      </w:r>
      <w:r>
        <w:rPr>
          <w:lang w:val="pt-BR"/>
        </w:rPr>
        <w:t xml:space="preserve">Da concessão do Prêmio de “Láurea Acadêmica” não caberá recurso.  </w:t>
      </w:r>
    </w:p>
    <w:p w:rsidR="00371DAF" w:rsidRDefault="00371DAF" w:rsidP="00371DAF">
      <w:pPr>
        <w:spacing w:after="0" w:line="256" w:lineRule="auto"/>
        <w:ind w:left="15" w:firstLine="0"/>
        <w:jc w:val="left"/>
        <w:rPr>
          <w:lang w:val="pt-BR"/>
        </w:rPr>
      </w:pPr>
    </w:p>
    <w:p w:rsidR="00371DAF" w:rsidRDefault="00371DAF" w:rsidP="00371DAF">
      <w:pPr>
        <w:spacing w:after="0" w:line="256" w:lineRule="auto"/>
        <w:ind w:left="15" w:firstLine="0"/>
        <w:jc w:val="left"/>
        <w:rPr>
          <w:lang w:val="pt-BR"/>
        </w:rPr>
      </w:pPr>
    </w:p>
    <w:p w:rsidR="00371DAF" w:rsidRDefault="00371DAF" w:rsidP="00371DAF">
      <w:pPr>
        <w:spacing w:after="30" w:line="256" w:lineRule="auto"/>
        <w:ind w:left="15" w:firstLine="0"/>
        <w:jc w:val="left"/>
        <w:rPr>
          <w:lang w:val="pt-BR"/>
        </w:rPr>
      </w:pPr>
    </w:p>
    <w:p w:rsidR="00371DAF" w:rsidRDefault="00371DAF" w:rsidP="00371DAF">
      <w:pPr>
        <w:spacing w:after="5" w:line="256" w:lineRule="auto"/>
        <w:ind w:left="15" w:firstLine="0"/>
        <w:jc w:val="left"/>
        <w:rPr>
          <w:lang w:val="pt-BR"/>
        </w:rPr>
      </w:pPr>
    </w:p>
    <w:p w:rsidR="009936DD" w:rsidRPr="00371DAF" w:rsidRDefault="009936DD">
      <w:pPr>
        <w:rPr>
          <w:lang w:val="pt-BR"/>
        </w:rPr>
      </w:pPr>
    </w:p>
    <w:sectPr w:rsidR="009936DD" w:rsidRPr="00371DAF" w:rsidSect="00883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21614"/>
    <w:multiLevelType w:val="hybridMultilevel"/>
    <w:tmpl w:val="40C2A94E"/>
    <w:lvl w:ilvl="0" w:tplc="7F02FCC4">
      <w:start w:val="1"/>
      <w:numFmt w:val="upperRoman"/>
      <w:lvlText w:val="%1"/>
      <w:lvlJc w:val="left"/>
      <w:pPr>
        <w:ind w:left="2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9CA8E14">
      <w:start w:val="1"/>
      <w:numFmt w:val="lowerLetter"/>
      <w:lvlText w:val="%2"/>
      <w:lvlJc w:val="left"/>
      <w:pPr>
        <w:ind w:left="1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4121244">
      <w:start w:val="1"/>
      <w:numFmt w:val="lowerRoman"/>
      <w:lvlText w:val="%3"/>
      <w:lvlJc w:val="left"/>
      <w:pPr>
        <w:ind w:left="1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1642EF0">
      <w:start w:val="1"/>
      <w:numFmt w:val="decimal"/>
      <w:lvlText w:val="%4"/>
      <w:lvlJc w:val="left"/>
      <w:pPr>
        <w:ind w:left="2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5A264C6">
      <w:start w:val="1"/>
      <w:numFmt w:val="lowerLetter"/>
      <w:lvlText w:val="%5"/>
      <w:lvlJc w:val="left"/>
      <w:pPr>
        <w:ind w:left="3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2AC709E">
      <w:start w:val="1"/>
      <w:numFmt w:val="lowerRoman"/>
      <w:lvlText w:val="%6"/>
      <w:lvlJc w:val="left"/>
      <w:pPr>
        <w:ind w:left="3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A7CA38A">
      <w:start w:val="1"/>
      <w:numFmt w:val="decimal"/>
      <w:lvlText w:val="%7"/>
      <w:lvlJc w:val="left"/>
      <w:pPr>
        <w:ind w:left="4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FF08A2E">
      <w:start w:val="1"/>
      <w:numFmt w:val="lowerLetter"/>
      <w:lvlText w:val="%8"/>
      <w:lvlJc w:val="left"/>
      <w:pPr>
        <w:ind w:left="54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810374A">
      <w:start w:val="1"/>
      <w:numFmt w:val="lowerRoman"/>
      <w:lvlText w:val="%9"/>
      <w:lvlJc w:val="left"/>
      <w:pPr>
        <w:ind w:left="61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0E078C5"/>
    <w:multiLevelType w:val="hybridMultilevel"/>
    <w:tmpl w:val="E15C45D4"/>
    <w:lvl w:ilvl="0" w:tplc="5BDED2BC">
      <w:start w:val="1"/>
      <w:numFmt w:val="upperRoman"/>
      <w:lvlText w:val="%1"/>
      <w:lvlJc w:val="left"/>
      <w:pPr>
        <w:ind w:left="2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9F001D2">
      <w:start w:val="1"/>
      <w:numFmt w:val="lowerLetter"/>
      <w:lvlText w:val="%2"/>
      <w:lvlJc w:val="left"/>
      <w:pPr>
        <w:ind w:left="1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1E2C78C">
      <w:start w:val="1"/>
      <w:numFmt w:val="lowerRoman"/>
      <w:lvlText w:val="%3"/>
      <w:lvlJc w:val="left"/>
      <w:pPr>
        <w:ind w:left="1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8C858B0">
      <w:start w:val="1"/>
      <w:numFmt w:val="decimal"/>
      <w:lvlText w:val="%4"/>
      <w:lvlJc w:val="left"/>
      <w:pPr>
        <w:ind w:left="2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13C0206">
      <w:start w:val="1"/>
      <w:numFmt w:val="lowerLetter"/>
      <w:lvlText w:val="%5"/>
      <w:lvlJc w:val="left"/>
      <w:pPr>
        <w:ind w:left="3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440641C">
      <w:start w:val="1"/>
      <w:numFmt w:val="lowerRoman"/>
      <w:lvlText w:val="%6"/>
      <w:lvlJc w:val="left"/>
      <w:pPr>
        <w:ind w:left="3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E227BE">
      <w:start w:val="1"/>
      <w:numFmt w:val="decimal"/>
      <w:lvlText w:val="%7"/>
      <w:lvlJc w:val="left"/>
      <w:pPr>
        <w:ind w:left="4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9668280">
      <w:start w:val="1"/>
      <w:numFmt w:val="lowerLetter"/>
      <w:lvlText w:val="%8"/>
      <w:lvlJc w:val="left"/>
      <w:pPr>
        <w:ind w:left="54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3C81FA6">
      <w:start w:val="1"/>
      <w:numFmt w:val="lowerRoman"/>
      <w:lvlText w:val="%9"/>
      <w:lvlJc w:val="left"/>
      <w:pPr>
        <w:ind w:left="61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371DAF"/>
    <w:rsid w:val="00367714"/>
    <w:rsid w:val="00371DAF"/>
    <w:rsid w:val="00883B26"/>
    <w:rsid w:val="009936DD"/>
    <w:rsid w:val="00A336A4"/>
    <w:rsid w:val="00DB3239"/>
    <w:rsid w:val="00FC3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E757B-87D0-45CD-918E-F161E36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DAF"/>
    <w:pPr>
      <w:spacing w:after="9" w:line="249" w:lineRule="auto"/>
      <w:ind w:left="10" w:hanging="10"/>
      <w:jc w:val="both"/>
    </w:pPr>
    <w:rPr>
      <w:rFonts w:ascii="Times New Roman" w:eastAsia="Times New Roman" w:hAnsi="Times New Roman" w:cs="Times New Roman"/>
      <w:color w:val="000000"/>
      <w:sz w:val="24"/>
      <w:lang w:val="en-US"/>
    </w:rPr>
  </w:style>
  <w:style w:type="paragraph" w:styleId="Ttulo3">
    <w:name w:val="heading 3"/>
    <w:basedOn w:val="Normal"/>
    <w:next w:val="Normal"/>
    <w:link w:val="Ttulo3Char"/>
    <w:uiPriority w:val="9"/>
    <w:semiHidden/>
    <w:unhideWhenUsed/>
    <w:qFormat/>
    <w:rsid w:val="00371DA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next w:val="Normal"/>
    <w:link w:val="Ttulo4Char"/>
    <w:uiPriority w:val="9"/>
    <w:semiHidden/>
    <w:unhideWhenUsed/>
    <w:qFormat/>
    <w:rsid w:val="00371DAF"/>
    <w:pPr>
      <w:keepNext/>
      <w:keepLines/>
      <w:spacing w:after="13" w:line="247" w:lineRule="auto"/>
      <w:ind w:left="10" w:right="21" w:hanging="10"/>
      <w:jc w:val="center"/>
      <w:outlineLvl w:val="3"/>
    </w:pPr>
    <w:rPr>
      <w:rFonts w:ascii="Times New Roman" w:eastAsia="Times New Roman" w:hAnsi="Times New Roman" w:cs="Times New Roman"/>
      <w:b/>
      <w:color w:val="000000"/>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371DAF"/>
    <w:rPr>
      <w:rFonts w:ascii="Times New Roman" w:eastAsia="Times New Roman" w:hAnsi="Times New Roman" w:cs="Times New Roman"/>
      <w:b/>
      <w:color w:val="000000"/>
      <w:sz w:val="24"/>
      <w:lang w:val="en-US"/>
    </w:rPr>
  </w:style>
  <w:style w:type="character" w:customStyle="1" w:styleId="Ttulo3Char">
    <w:name w:val="Título 3 Char"/>
    <w:basedOn w:val="Fontepargpadro"/>
    <w:link w:val="Ttulo3"/>
    <w:uiPriority w:val="9"/>
    <w:semiHidden/>
    <w:rsid w:val="00371DAF"/>
    <w:rPr>
      <w:rFonts w:asciiTheme="majorHAnsi" w:eastAsiaTheme="majorEastAsia" w:hAnsiTheme="majorHAnsi" w:cstheme="majorBidi"/>
      <w:b/>
      <w:bCs/>
      <w:color w:val="4F81BD" w:themeColor="accent1"/>
      <w:sz w:val="24"/>
      <w:lang w:val="en-US"/>
    </w:rPr>
  </w:style>
  <w:style w:type="paragraph" w:styleId="Textodebalo">
    <w:name w:val="Balloon Text"/>
    <w:basedOn w:val="Normal"/>
    <w:link w:val="TextodebaloChar"/>
    <w:uiPriority w:val="99"/>
    <w:semiHidden/>
    <w:unhideWhenUsed/>
    <w:rsid w:val="00371D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1DAF"/>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6164">
      <w:bodyDiv w:val="1"/>
      <w:marLeft w:val="0"/>
      <w:marRight w:val="0"/>
      <w:marTop w:val="0"/>
      <w:marBottom w:val="0"/>
      <w:divBdr>
        <w:top w:val="none" w:sz="0" w:space="0" w:color="auto"/>
        <w:left w:val="none" w:sz="0" w:space="0" w:color="auto"/>
        <w:bottom w:val="none" w:sz="0" w:space="0" w:color="auto"/>
        <w:right w:val="none" w:sz="0" w:space="0" w:color="auto"/>
      </w:divBdr>
    </w:div>
    <w:div w:id="15049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360</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dc:creator>
  <cp:lastModifiedBy>TERRY</cp:lastModifiedBy>
  <cp:revision>4</cp:revision>
  <dcterms:created xsi:type="dcterms:W3CDTF">2019-06-13T18:12:00Z</dcterms:created>
  <dcterms:modified xsi:type="dcterms:W3CDTF">2020-03-27T11:35:00Z</dcterms:modified>
</cp:coreProperties>
</file>